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Publikarbete</w:t>
      </w:r>
    </w:p>
    <w:p>
      <w:r>
        <w:t>25.11.2025 tiistai</w:t>
      </w:r>
    </w:p>
    <w:p>
      <w:pPr>
        <w:pStyle w:val="Heading1"/>
      </w:pPr>
      <w:r>
        <w:t>25.11.2025 tiistai</w:t>
      </w:r>
    </w:p>
    <w:p>
      <w:pPr>
        <w:pStyle w:val="Heading2"/>
      </w:pPr>
      <w:r>
        <w:t>20:00-20:00 Spökguidning: Bland gengångare och gastar</w:t>
      </w:r>
    </w:p>
    <w:p>
      <w:r>
        <w:t>Wasa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