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15:00-17:00 Intressebevakning och påverkanskommunikation</w:t>
      </w:r>
    </w:p>
    <w:p>
      <w:r>
        <w:t>Intressebevakning och påverkanskommunikation – få centrala aktörer att agera.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