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15.2.2019 perjantai</w:t>
      </w:r>
    </w:p>
    <w:p>
      <w:pPr>
        <w:pStyle w:val="Heading1"/>
      </w:pPr>
      <w:r>
        <w:t>15.2.2019-16.2.2019</w:t>
      </w:r>
    </w:p>
    <w:p>
      <w:pPr>
        <w:pStyle w:val="Heading2"/>
      </w:pPr>
      <w:r>
        <w:t>15:00-00:00 Akvarellikerholaisten vuosinäyttely</w:t>
      </w:r>
    </w:p>
    <w:p>
      <w:r>
        <w:t>Akvarellikerholaisten vuosinäyttely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