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Kråkkärrets</w:t>
      </w:r>
    </w:p>
    <w:p>
      <w:r>
        <w:t>15.6.2025 sunnuntai</w:t>
      </w:r>
    </w:p>
    <w:p>
      <w:pPr>
        <w:pStyle w:val="Heading1"/>
      </w:pPr>
      <w:r>
        <w:t>15.6.2025 sunnuntai</w:t>
      </w:r>
    </w:p>
    <w:p>
      <w:pPr>
        <w:pStyle w:val="Heading2"/>
      </w:pPr>
      <w:r>
        <w:t>15:00-16:30 Varissuo – nittiotalets tonårssafari</w:t>
      </w:r>
    </w:p>
    <w:p>
      <w:r>
        <w:t xml:space="preserve"> </w:t>
      </w:r>
    </w:p>
    <w:p>
      <w:r>
        <w:t>20,00€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